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96D48">
      <w:r>
        <w:t xml:space="preserve">11А. Литература: </w:t>
      </w:r>
      <w:r w:rsidRPr="00F96D48">
        <w:t>Прочитать повести А.Алексина "Ивашов" и "В тылу как в тылу"; ответить на вопрос: "Можно ли назвать героями людей, работавших в тылу в годы Великой Отечественной войны, и почему?"</w:t>
      </w:r>
    </w:p>
    <w:p w:rsidR="00F96D48" w:rsidRDefault="00F96D48">
      <w:r>
        <w:t>Русский язык: выполнить тестовые задания по итогам консультации от 20.03.2020</w:t>
      </w:r>
    </w:p>
    <w:sectPr w:rsidR="00F96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96D48"/>
    <w:rsid w:val="00F96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kab27-pc</dc:creator>
  <cp:keywords/>
  <dc:description/>
  <cp:lastModifiedBy>kab27-pc</cp:lastModifiedBy>
  <cp:revision>3</cp:revision>
  <dcterms:created xsi:type="dcterms:W3CDTF">2020-03-20T04:53:00Z</dcterms:created>
  <dcterms:modified xsi:type="dcterms:W3CDTF">2020-03-20T05:00:00Z</dcterms:modified>
</cp:coreProperties>
</file>